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D4A5B" w:rsidP="008D4A5B">
      <w:pPr>
        <w:tabs>
          <w:tab w:val="left" w:pos="3502"/>
          <w:tab w:val="center" w:pos="4680"/>
        </w:tabs>
        <w:spacing w:before="240" w:line="480" w:lineRule="auto"/>
        <w:jc w:val="center"/>
        <w:rPr>
          <w:rFonts w:ascii="Times New Roman" w:hAnsi="Times New Roman" w:cs="Times New Roman"/>
          <w:b/>
          <w:color w:val="0E101A"/>
          <w:sz w:val="24"/>
          <w:szCs w:val="24"/>
        </w:rPr>
      </w:pPr>
    </w:p>
    <w:p w:rsidR="008D4A5B" w:rsidP="008D4A5B">
      <w:pPr>
        <w:tabs>
          <w:tab w:val="left" w:pos="3502"/>
          <w:tab w:val="center" w:pos="4680"/>
        </w:tabs>
        <w:spacing w:before="240" w:line="480" w:lineRule="auto"/>
        <w:jc w:val="center"/>
        <w:rPr>
          <w:rFonts w:ascii="Times New Roman" w:hAnsi="Times New Roman" w:cs="Times New Roman"/>
          <w:b/>
          <w:color w:val="0E101A"/>
          <w:sz w:val="24"/>
          <w:szCs w:val="24"/>
        </w:rPr>
      </w:pPr>
    </w:p>
    <w:p w:rsidR="008D4A5B" w:rsidP="008D4A5B">
      <w:pPr>
        <w:tabs>
          <w:tab w:val="left" w:pos="3502"/>
          <w:tab w:val="center" w:pos="4680"/>
        </w:tabs>
        <w:spacing w:before="240" w:line="480" w:lineRule="auto"/>
        <w:jc w:val="center"/>
        <w:rPr>
          <w:rFonts w:ascii="Times New Roman" w:hAnsi="Times New Roman" w:cs="Times New Roman"/>
          <w:b/>
          <w:color w:val="0E101A"/>
          <w:sz w:val="24"/>
          <w:szCs w:val="24"/>
        </w:rPr>
      </w:pPr>
    </w:p>
    <w:p w:rsidR="008D4A5B" w:rsidP="008D4A5B">
      <w:pPr>
        <w:tabs>
          <w:tab w:val="left" w:pos="3502"/>
          <w:tab w:val="center" w:pos="4680"/>
        </w:tabs>
        <w:spacing w:before="240" w:line="480" w:lineRule="auto"/>
        <w:jc w:val="center"/>
        <w:rPr>
          <w:rFonts w:ascii="Times New Roman" w:hAnsi="Times New Roman" w:cs="Times New Roman"/>
          <w:b/>
          <w:color w:val="0E101A"/>
          <w:sz w:val="24"/>
          <w:szCs w:val="24"/>
        </w:rPr>
      </w:pPr>
    </w:p>
    <w:p w:rsidR="008D4A5B" w:rsidP="008D4A5B">
      <w:pPr>
        <w:tabs>
          <w:tab w:val="left" w:pos="3502"/>
          <w:tab w:val="center" w:pos="4680"/>
        </w:tabs>
        <w:spacing w:before="240" w:line="480" w:lineRule="auto"/>
        <w:jc w:val="center"/>
        <w:rPr>
          <w:rFonts w:ascii="Times New Roman" w:hAnsi="Times New Roman" w:cs="Times New Roman"/>
          <w:b/>
          <w:color w:val="0E101A"/>
          <w:sz w:val="24"/>
          <w:szCs w:val="24"/>
        </w:rPr>
      </w:pPr>
    </w:p>
    <w:p w:rsidR="008D4A5B" w:rsidRPr="008A44D6" w:rsidP="008A44D6">
      <w:pPr>
        <w:tabs>
          <w:tab w:val="left" w:pos="3502"/>
          <w:tab w:val="center" w:pos="4680"/>
        </w:tabs>
        <w:spacing w:before="240" w:line="480" w:lineRule="auto"/>
        <w:jc w:val="center"/>
        <w:rPr>
          <w:rFonts w:ascii="Times New Roman" w:hAnsi="Times New Roman" w:cs="Times New Roman"/>
          <w:b/>
          <w:color w:val="0E101A"/>
          <w:sz w:val="24"/>
          <w:szCs w:val="24"/>
        </w:rPr>
      </w:pPr>
      <w:r w:rsidRPr="008A44D6">
        <w:rPr>
          <w:rFonts w:ascii="Times New Roman" w:hAnsi="Times New Roman" w:cs="Times New Roman"/>
          <w:b/>
          <w:color w:val="1B1B1B"/>
          <w:sz w:val="24"/>
          <w:szCs w:val="24"/>
          <w:shd w:val="clear" w:color="auto" w:fill="FFFFFF"/>
        </w:rPr>
        <w:t>Unit IV Case Study</w:t>
      </w:r>
    </w:p>
    <w:p w:rsidR="008D4A5B" w:rsidRPr="0019525F" w:rsidP="008D4A5B">
      <w:pPr>
        <w:spacing w:before="240" w:line="480" w:lineRule="auto"/>
        <w:jc w:val="center"/>
        <w:rPr>
          <w:rFonts w:ascii="Times New Roman" w:hAnsi="Times New Roman" w:cs="Times New Roman"/>
          <w:b/>
          <w:color w:val="0E101A"/>
          <w:sz w:val="24"/>
          <w:szCs w:val="24"/>
        </w:rPr>
      </w:pPr>
      <w:r w:rsidRPr="0019525F">
        <w:rPr>
          <w:rFonts w:ascii="Times New Roman" w:hAnsi="Times New Roman" w:cs="Times New Roman"/>
          <w:sz w:val="24"/>
          <w:szCs w:val="24"/>
        </w:rPr>
        <w:t>Name</w:t>
      </w:r>
    </w:p>
    <w:p w:rsidR="008D4A5B" w:rsidRPr="0019525F" w:rsidP="008D4A5B">
      <w:pPr>
        <w:tabs>
          <w:tab w:val="left" w:pos="4036"/>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19525F">
        <w:rPr>
          <w:rFonts w:ascii="Times New Roman" w:hAnsi="Times New Roman" w:cs="Times New Roman"/>
          <w:sz w:val="24"/>
          <w:szCs w:val="24"/>
        </w:rPr>
        <w:t>Institution</w:t>
      </w:r>
    </w:p>
    <w:p w:rsidR="008D4A5B" w:rsidRPr="0019525F" w:rsidP="008D4A5B">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Course</w:t>
      </w:r>
    </w:p>
    <w:p w:rsidR="008D4A5B" w:rsidRPr="0019525F" w:rsidP="008D4A5B">
      <w:pPr>
        <w:spacing w:line="480" w:lineRule="auto"/>
        <w:jc w:val="center"/>
        <w:rPr>
          <w:rFonts w:ascii="Times New Roman" w:hAnsi="Times New Roman" w:cs="Times New Roman"/>
          <w:sz w:val="24"/>
          <w:szCs w:val="24"/>
        </w:rPr>
      </w:pPr>
      <w:r w:rsidRPr="0019525F">
        <w:rPr>
          <w:rFonts w:ascii="Times New Roman" w:hAnsi="Times New Roman" w:cs="Times New Roman"/>
          <w:sz w:val="24"/>
          <w:szCs w:val="24"/>
        </w:rPr>
        <w:t>Instructor</w:t>
      </w:r>
    </w:p>
    <w:p w:rsidR="0037070A" w:rsidP="008D4A5B">
      <w:pPr>
        <w:jc w:val="center"/>
        <w:rPr>
          <w:rFonts w:ascii="Times New Roman" w:hAnsi="Times New Roman" w:cs="Times New Roman"/>
          <w:sz w:val="24"/>
          <w:szCs w:val="24"/>
        </w:rPr>
      </w:pPr>
      <w:r w:rsidRPr="0019525F">
        <w:rPr>
          <w:rFonts w:ascii="Times New Roman" w:hAnsi="Times New Roman" w:cs="Times New Roman"/>
          <w:sz w:val="24"/>
          <w:szCs w:val="24"/>
        </w:rPr>
        <w:t>Date</w:t>
      </w:r>
      <w:r w:rsidRPr="0019525F">
        <w:rPr>
          <w:rFonts w:ascii="Times New Roman" w:eastAsia="Times New Roman" w:hAnsi="Times New Roman" w:cs="Times New Roman"/>
          <w:b/>
          <w:color w:val="0E101A"/>
          <w:sz w:val="24"/>
          <w:szCs w:val="24"/>
        </w:rPr>
        <w:t xml:space="preserve"> </w:t>
      </w:r>
      <w:r>
        <w:rPr>
          <w:rFonts w:ascii="Times New Roman" w:hAnsi="Times New Roman" w:cs="Times New Roman"/>
          <w:sz w:val="24"/>
          <w:szCs w:val="24"/>
        </w:rPr>
        <w:br w:type="page"/>
      </w:r>
    </w:p>
    <w:p w:rsidR="002669AA" w:rsidRPr="008A44D6" w:rsidP="002669AA">
      <w:pPr>
        <w:tabs>
          <w:tab w:val="left" w:pos="3502"/>
          <w:tab w:val="center" w:pos="4680"/>
        </w:tabs>
        <w:spacing w:before="240" w:line="480" w:lineRule="auto"/>
        <w:jc w:val="center"/>
        <w:rPr>
          <w:rFonts w:ascii="Times New Roman" w:hAnsi="Times New Roman" w:cs="Times New Roman"/>
          <w:b/>
          <w:color w:val="0E101A"/>
          <w:sz w:val="24"/>
          <w:szCs w:val="24"/>
        </w:rPr>
      </w:pPr>
      <w:r w:rsidRPr="008A44D6">
        <w:rPr>
          <w:rFonts w:ascii="Times New Roman" w:hAnsi="Times New Roman" w:cs="Times New Roman"/>
          <w:b/>
          <w:color w:val="1B1B1B"/>
          <w:sz w:val="24"/>
          <w:szCs w:val="24"/>
          <w:shd w:val="clear" w:color="auto" w:fill="FFFFFF"/>
        </w:rPr>
        <w:t>Unit IV Case Study</w:t>
      </w:r>
    </w:p>
    <w:p w:rsidR="005B79C1" w:rsidRPr="005B79C1" w:rsidP="005B79C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Keith v. </w:t>
      </w:r>
      <w:r w:rsidRPr="005B79C1">
        <w:rPr>
          <w:rFonts w:ascii="Times New Roman" w:hAnsi="Times New Roman" w:cs="Times New Roman"/>
          <w:sz w:val="24"/>
          <w:szCs w:val="24"/>
        </w:rPr>
        <w:t>Oakland</w:t>
      </w:r>
      <w:r>
        <w:rPr>
          <w:rFonts w:ascii="Times New Roman" w:hAnsi="Times New Roman" w:cs="Times New Roman"/>
          <w:sz w:val="24"/>
          <w:szCs w:val="24"/>
        </w:rPr>
        <w:t xml:space="preserve"> County</w:t>
      </w:r>
      <w:r w:rsidRPr="005B79C1">
        <w:rPr>
          <w:rFonts w:ascii="Times New Roman" w:hAnsi="Times New Roman" w:cs="Times New Roman"/>
          <w:sz w:val="24"/>
          <w:szCs w:val="24"/>
        </w:rPr>
        <w:t>, 2013, attempted to discover whether a deaf individual satisfied the criteria to work as a lifeguard in Oakland County. This instance included Nicholas Keith, born deaf and went through Oakland County and Michigan's lifeguard training course. He was successful with the help of a Sign language interpreter (</w:t>
      </w:r>
      <w:r w:rsidR="004064A4">
        <w:rPr>
          <w:rFonts w:ascii="Times New Roman" w:hAnsi="Times New Roman" w:cs="Times New Roman"/>
          <w:sz w:val="24"/>
          <w:szCs w:val="24"/>
        </w:rPr>
        <w:t xml:space="preserve">FindLaw, </w:t>
      </w:r>
      <w:r w:rsidRPr="00C9153D" w:rsidR="004064A4">
        <w:rPr>
          <w:rFonts w:ascii="Times New Roman" w:hAnsi="Times New Roman" w:cs="Times New Roman"/>
          <w:sz w:val="24"/>
          <w:szCs w:val="24"/>
        </w:rPr>
        <w:t>n.d.</w:t>
      </w:r>
      <w:r w:rsidRPr="005B79C1">
        <w:rPr>
          <w:rFonts w:ascii="Times New Roman" w:hAnsi="Times New Roman" w:cs="Times New Roman"/>
          <w:sz w:val="24"/>
          <w:szCs w:val="24"/>
        </w:rPr>
        <w:t>). This lawsuit sought the advice of an aquatic safety expert and a physician to establish if Keith was suitable for the position. Keith was not permitted to serve as a lifeguard by the physician designated by Oakland County.</w:t>
      </w:r>
    </w:p>
    <w:p w:rsidR="005B79C1" w:rsidRPr="005B79C1" w:rsidP="005B79C1">
      <w:pPr>
        <w:spacing w:line="480" w:lineRule="auto"/>
        <w:ind w:firstLine="720"/>
        <w:rPr>
          <w:rFonts w:ascii="Times New Roman" w:hAnsi="Times New Roman" w:cs="Times New Roman"/>
          <w:sz w:val="24"/>
          <w:szCs w:val="24"/>
        </w:rPr>
      </w:pPr>
      <w:r w:rsidRPr="005B79C1">
        <w:rPr>
          <w:rFonts w:ascii="Times New Roman" w:hAnsi="Times New Roman" w:cs="Times New Roman"/>
          <w:sz w:val="24"/>
          <w:szCs w:val="24"/>
        </w:rPr>
        <w:t>Keith's eligibility to work as a lifeguard in Oakland County and discrimination against persons with disabilities are the legal concerns raised in the case. The job description said that candidates must be at least 16 years old. These candidates must have passed the water safety exam as</w:t>
      </w:r>
      <w:r w:rsidR="00CC26BE">
        <w:rPr>
          <w:rFonts w:ascii="Times New Roman" w:hAnsi="Times New Roman" w:cs="Times New Roman"/>
          <w:sz w:val="24"/>
          <w:szCs w:val="24"/>
        </w:rPr>
        <w:t xml:space="preserve"> well as the lifeguard preparation </w:t>
      </w:r>
      <w:r w:rsidRPr="005B79C1">
        <w:rPr>
          <w:rFonts w:ascii="Times New Roman" w:hAnsi="Times New Roman" w:cs="Times New Roman"/>
          <w:sz w:val="24"/>
          <w:szCs w:val="24"/>
        </w:rPr>
        <w:t xml:space="preserve">program. The petitioner was offered employment after passing the examinations, but he was subjected to a medical exam. Keith's handicap rendered him ineligible for the lifeguard duty, according to the medical examiner. The district court confirmed the County medical examiners' determination that Keith was unqualified for the employment because his communication skills as a lifeguard were inadequate. In the appeals court, the plaintiff presented a factual claim that the employer failed to accommodate him despite giving enough proof that he could perform the duties of a lifeguard. Keith demonstrates that reasonable accommodations were possible and that he has the necessary skills to become a lifeguard. The Court of Appeals </w:t>
      </w:r>
      <w:r w:rsidRPr="005B79C1" w:rsidR="00CC26BE">
        <w:rPr>
          <w:rFonts w:ascii="Times New Roman" w:hAnsi="Times New Roman" w:cs="Times New Roman"/>
          <w:sz w:val="24"/>
          <w:szCs w:val="24"/>
        </w:rPr>
        <w:t>overturned</w:t>
      </w:r>
      <w:r w:rsidRPr="005B79C1">
        <w:rPr>
          <w:rFonts w:ascii="Times New Roman" w:hAnsi="Times New Roman" w:cs="Times New Roman"/>
          <w:sz w:val="24"/>
          <w:szCs w:val="24"/>
        </w:rPr>
        <w:t xml:space="preserve"> a Michigan </w:t>
      </w:r>
      <w:r w:rsidRPr="005B79C1" w:rsidR="00CC26BE">
        <w:rPr>
          <w:rFonts w:ascii="Times New Roman" w:hAnsi="Times New Roman" w:cs="Times New Roman"/>
          <w:sz w:val="24"/>
          <w:szCs w:val="24"/>
        </w:rPr>
        <w:t>region</w:t>
      </w:r>
      <w:r w:rsidRPr="005B79C1">
        <w:rPr>
          <w:rFonts w:ascii="Times New Roman" w:hAnsi="Times New Roman" w:cs="Times New Roman"/>
          <w:sz w:val="24"/>
          <w:szCs w:val="24"/>
        </w:rPr>
        <w:t xml:space="preserve"> court's decision, finding that a deaf </w:t>
      </w:r>
      <w:r w:rsidRPr="005B79C1" w:rsidR="00CC26BE">
        <w:rPr>
          <w:rFonts w:ascii="Times New Roman" w:hAnsi="Times New Roman" w:cs="Times New Roman"/>
          <w:sz w:val="24"/>
          <w:szCs w:val="24"/>
        </w:rPr>
        <w:t>claimant's</w:t>
      </w:r>
      <w:r w:rsidRPr="005B79C1">
        <w:rPr>
          <w:rFonts w:ascii="Times New Roman" w:hAnsi="Times New Roman" w:cs="Times New Roman"/>
          <w:sz w:val="24"/>
          <w:szCs w:val="24"/>
        </w:rPr>
        <w:t xml:space="preserve"> </w:t>
      </w:r>
      <w:r w:rsidRPr="005B79C1" w:rsidR="00CC26BE">
        <w:rPr>
          <w:rFonts w:ascii="Times New Roman" w:hAnsi="Times New Roman" w:cs="Times New Roman"/>
          <w:sz w:val="24"/>
          <w:szCs w:val="24"/>
        </w:rPr>
        <w:t>civil liberties</w:t>
      </w:r>
      <w:r w:rsidRPr="005B79C1">
        <w:rPr>
          <w:rFonts w:ascii="Times New Roman" w:hAnsi="Times New Roman" w:cs="Times New Roman"/>
          <w:sz w:val="24"/>
          <w:szCs w:val="24"/>
        </w:rPr>
        <w:t xml:space="preserve"> under the Americans with Disabil</w:t>
      </w:r>
      <w:r w:rsidR="00CC26BE">
        <w:rPr>
          <w:rFonts w:ascii="Times New Roman" w:hAnsi="Times New Roman" w:cs="Times New Roman"/>
          <w:sz w:val="24"/>
          <w:szCs w:val="24"/>
        </w:rPr>
        <w:t>ities Act</w:t>
      </w:r>
      <w:r w:rsidRPr="005B79C1">
        <w:rPr>
          <w:rFonts w:ascii="Times New Roman" w:hAnsi="Times New Roman" w:cs="Times New Roman"/>
          <w:sz w:val="24"/>
          <w:szCs w:val="24"/>
        </w:rPr>
        <w:t xml:space="preserve"> could have been contravened when </w:t>
      </w:r>
      <w:r w:rsidR="00CC26BE">
        <w:rPr>
          <w:rFonts w:ascii="Times New Roman" w:hAnsi="Times New Roman" w:cs="Times New Roman"/>
          <w:sz w:val="24"/>
          <w:szCs w:val="24"/>
        </w:rPr>
        <w:t xml:space="preserve">the </w:t>
      </w:r>
      <w:r w:rsidRPr="005B79C1">
        <w:rPr>
          <w:rFonts w:ascii="Times New Roman" w:hAnsi="Times New Roman" w:cs="Times New Roman"/>
          <w:sz w:val="24"/>
          <w:szCs w:val="24"/>
        </w:rPr>
        <w:t>County</w:t>
      </w:r>
      <w:r w:rsidR="00CC26BE">
        <w:rPr>
          <w:rFonts w:ascii="Times New Roman" w:hAnsi="Times New Roman" w:cs="Times New Roman"/>
          <w:sz w:val="24"/>
          <w:szCs w:val="24"/>
        </w:rPr>
        <w:t xml:space="preserve"> of </w:t>
      </w:r>
      <w:r w:rsidRPr="005B79C1" w:rsidR="00CC26BE">
        <w:rPr>
          <w:rFonts w:ascii="Times New Roman" w:hAnsi="Times New Roman" w:cs="Times New Roman"/>
          <w:sz w:val="24"/>
          <w:szCs w:val="24"/>
        </w:rPr>
        <w:t>Oakland</w:t>
      </w:r>
      <w:r w:rsidR="00CC26BE">
        <w:rPr>
          <w:rFonts w:ascii="Times New Roman" w:hAnsi="Times New Roman" w:cs="Times New Roman"/>
          <w:sz w:val="24"/>
          <w:szCs w:val="24"/>
        </w:rPr>
        <w:t xml:space="preserve"> withdrew its employment opportunity to employ Keith in a position </w:t>
      </w:r>
      <w:r w:rsidRPr="005B79C1">
        <w:rPr>
          <w:rFonts w:ascii="Times New Roman" w:hAnsi="Times New Roman" w:cs="Times New Roman"/>
          <w:sz w:val="24"/>
          <w:szCs w:val="24"/>
        </w:rPr>
        <w:t>lifeguard.</w:t>
      </w:r>
    </w:p>
    <w:p w:rsidR="005B79C1" w:rsidRPr="005B79C1" w:rsidP="005B79C1">
      <w:pPr>
        <w:spacing w:line="480" w:lineRule="auto"/>
        <w:ind w:firstLine="720"/>
        <w:rPr>
          <w:rFonts w:ascii="Times New Roman" w:hAnsi="Times New Roman" w:cs="Times New Roman"/>
          <w:sz w:val="24"/>
          <w:szCs w:val="24"/>
        </w:rPr>
      </w:pPr>
      <w:r w:rsidRPr="005B79C1">
        <w:rPr>
          <w:rFonts w:ascii="Times New Roman" w:hAnsi="Times New Roman" w:cs="Times New Roman"/>
          <w:sz w:val="24"/>
          <w:szCs w:val="24"/>
        </w:rPr>
        <w:t>Keith maintained that he would only need an interpreter for staff briefings and additional classroom teaching, which he considered acceptable. I believe that this accommodation was reasonable because the county is only required to hire an interpreter during staff briefings only and not employing a full-time translator as an additional lifeguard as stated by the county. In addition, according to the Americans with Disabilities Act and Rehabilitation Act of 1973</w:t>
      </w:r>
      <w:r w:rsidR="00DE76EB">
        <w:rPr>
          <w:rFonts w:ascii="Times New Roman" w:hAnsi="Times New Roman" w:cs="Times New Roman"/>
          <w:sz w:val="24"/>
          <w:szCs w:val="24"/>
        </w:rPr>
        <w:t xml:space="preserve"> (</w:t>
      </w:r>
      <w:r w:rsidRPr="00BF109C" w:rsidR="00DE76EB">
        <w:rPr>
          <w:rFonts w:ascii="Times New Roman" w:hAnsi="Times New Roman" w:cs="Times New Roman"/>
          <w:color w:val="222222"/>
          <w:sz w:val="24"/>
          <w:szCs w:val="24"/>
          <w:shd w:val="clear" w:color="auto" w:fill="FFFFFF"/>
        </w:rPr>
        <w:t>Bateman</w:t>
      </w:r>
      <w:r w:rsidR="00DE76EB">
        <w:rPr>
          <w:rFonts w:ascii="Times New Roman" w:hAnsi="Times New Roman" w:cs="Times New Roman"/>
          <w:color w:val="222222"/>
          <w:sz w:val="24"/>
          <w:szCs w:val="24"/>
          <w:shd w:val="clear" w:color="auto" w:fill="FFFFFF"/>
        </w:rPr>
        <w:t xml:space="preserve"> et al., 2020</w:t>
      </w:r>
      <w:r w:rsidR="00DE76EB">
        <w:rPr>
          <w:rFonts w:ascii="Times New Roman" w:hAnsi="Times New Roman" w:cs="Times New Roman"/>
          <w:sz w:val="24"/>
          <w:szCs w:val="24"/>
        </w:rPr>
        <w:t>)</w:t>
      </w:r>
      <w:r w:rsidRPr="005B79C1">
        <w:rPr>
          <w:rFonts w:ascii="Times New Roman" w:hAnsi="Times New Roman" w:cs="Times New Roman"/>
          <w:sz w:val="24"/>
          <w:szCs w:val="24"/>
        </w:rPr>
        <w:t>, it is well within Keith's right for Oakland County to carry out an individualized investigation of his capabilities and engage in the participatory procedure of searching for accommodation. Similarly, I believe that this accommodation was reasonable because the appeals court seconded it. The appeals court rejected the lower court's conclusion that no reasonable accommodation would allow Keith to communicate effectively. According to the ADA, totals would include "the availability of trained readers or translators." According to the court, the presence of translators in the legislation implies that the supply of an interpreter will frequently be acceptable, especially when one is required on an as-needed basis, as Keith asked.</w:t>
      </w:r>
    </w:p>
    <w:p w:rsidR="00C9153D" w:rsidP="005B79C1">
      <w:pPr>
        <w:spacing w:line="480" w:lineRule="auto"/>
        <w:ind w:firstLine="720"/>
        <w:rPr>
          <w:rFonts w:ascii="Times New Roman" w:hAnsi="Times New Roman" w:cs="Times New Roman"/>
          <w:sz w:val="24"/>
          <w:szCs w:val="24"/>
        </w:rPr>
      </w:pPr>
      <w:r w:rsidRPr="005B79C1">
        <w:rPr>
          <w:rFonts w:ascii="Times New Roman" w:hAnsi="Times New Roman" w:cs="Times New Roman"/>
          <w:sz w:val="24"/>
          <w:szCs w:val="24"/>
        </w:rPr>
        <w:t xml:space="preserve">The 6th Circuit lower courts determined that the County of Oakland had not performed an individualized examination of Keith's qualifications. The court ruled that it was incongruent with the ADA's goals for an </w:t>
      </w:r>
      <w:r w:rsidRPr="005B79C1" w:rsidR="00181BC4">
        <w:rPr>
          <w:rFonts w:ascii="Times New Roman" w:hAnsi="Times New Roman" w:cs="Times New Roman"/>
          <w:sz w:val="24"/>
          <w:szCs w:val="24"/>
        </w:rPr>
        <w:t>establishment</w:t>
      </w:r>
      <w:r w:rsidR="00181BC4">
        <w:rPr>
          <w:rFonts w:ascii="Times New Roman" w:hAnsi="Times New Roman" w:cs="Times New Roman"/>
          <w:sz w:val="24"/>
          <w:szCs w:val="24"/>
        </w:rPr>
        <w:t xml:space="preserve"> to conduct a </w:t>
      </w:r>
      <w:r w:rsidRPr="005B79C1" w:rsidR="00181BC4">
        <w:rPr>
          <w:rFonts w:ascii="Times New Roman" w:hAnsi="Times New Roman" w:cs="Times New Roman"/>
          <w:sz w:val="24"/>
          <w:szCs w:val="24"/>
        </w:rPr>
        <w:t>personalized</w:t>
      </w:r>
      <w:r w:rsidRPr="005B79C1">
        <w:rPr>
          <w:rFonts w:ascii="Times New Roman" w:hAnsi="Times New Roman" w:cs="Times New Roman"/>
          <w:sz w:val="24"/>
          <w:szCs w:val="24"/>
        </w:rPr>
        <w:t xml:space="preserve"> investigation merely to </w:t>
      </w:r>
      <w:r w:rsidRPr="005B79C1" w:rsidR="00181BC4">
        <w:rPr>
          <w:rFonts w:ascii="Times New Roman" w:hAnsi="Times New Roman" w:cs="Times New Roman"/>
          <w:sz w:val="24"/>
          <w:szCs w:val="24"/>
        </w:rPr>
        <w:t>concede</w:t>
      </w:r>
      <w:r w:rsidRPr="005B79C1">
        <w:rPr>
          <w:rFonts w:ascii="Times New Roman" w:hAnsi="Times New Roman" w:cs="Times New Roman"/>
          <w:sz w:val="24"/>
          <w:szCs w:val="24"/>
        </w:rPr>
        <w:t xml:space="preserve"> to the </w:t>
      </w:r>
      <w:r w:rsidRPr="005B79C1" w:rsidR="00181BC4">
        <w:rPr>
          <w:rFonts w:ascii="Times New Roman" w:hAnsi="Times New Roman" w:cs="Times New Roman"/>
          <w:sz w:val="24"/>
          <w:szCs w:val="24"/>
        </w:rPr>
        <w:t>thoughts</w:t>
      </w:r>
      <w:r w:rsidRPr="005B79C1">
        <w:rPr>
          <w:rFonts w:ascii="Times New Roman" w:hAnsi="Times New Roman" w:cs="Times New Roman"/>
          <w:sz w:val="24"/>
          <w:szCs w:val="24"/>
        </w:rPr>
        <w:t xml:space="preserve"> and re</w:t>
      </w:r>
      <w:r w:rsidR="00181BC4">
        <w:rPr>
          <w:rFonts w:ascii="Times New Roman" w:hAnsi="Times New Roman" w:cs="Times New Roman"/>
          <w:sz w:val="24"/>
          <w:szCs w:val="24"/>
        </w:rPr>
        <w:t>commendations of individuals that</w:t>
      </w:r>
      <w:bookmarkStart w:id="0" w:name="_GoBack"/>
      <w:bookmarkEnd w:id="0"/>
      <w:r w:rsidRPr="005B79C1">
        <w:rPr>
          <w:rFonts w:ascii="Times New Roman" w:hAnsi="Times New Roman" w:cs="Times New Roman"/>
          <w:sz w:val="24"/>
          <w:szCs w:val="24"/>
        </w:rPr>
        <w:t xml:space="preserve"> had previously worked for the business. However, one thing that the county did well was, according to Keith, with the help of an interpreter for classroom instructions and meetings when he applied for the position until he concluded the training program successfully. On the contrary, they should have conducted an individualized inquiry into Keith's capabilities and engage in the interactive process of sourcing for an accommodation. I also think that the county of Oakland should have sorted legal opinion </w:t>
      </w:r>
      <w:r w:rsidRPr="005B79C1">
        <w:rPr>
          <w:rFonts w:ascii="Times New Roman" w:hAnsi="Times New Roman" w:cs="Times New Roman"/>
          <w:sz w:val="24"/>
          <w:szCs w:val="24"/>
        </w:rPr>
        <w:t>before revoking Keith's employment offer after the county's risk management advisor expressed concerns about his capabilities and the doctor mentioned that Keith would require constant accommodation.</w:t>
      </w:r>
    </w:p>
    <w:p w:rsidR="00C9153D">
      <w:pPr>
        <w:rPr>
          <w:rFonts w:ascii="Times New Roman" w:hAnsi="Times New Roman" w:cs="Times New Roman"/>
          <w:sz w:val="24"/>
          <w:szCs w:val="24"/>
        </w:rPr>
      </w:pPr>
      <w:r>
        <w:rPr>
          <w:rFonts w:ascii="Times New Roman" w:hAnsi="Times New Roman" w:cs="Times New Roman"/>
          <w:sz w:val="24"/>
          <w:szCs w:val="24"/>
        </w:rPr>
        <w:br w:type="page"/>
      </w:r>
    </w:p>
    <w:p w:rsidR="00D34DC5" w:rsidRPr="00BF109C" w:rsidP="00BF109C">
      <w:pPr>
        <w:spacing w:line="480" w:lineRule="auto"/>
        <w:jc w:val="center"/>
        <w:rPr>
          <w:rFonts w:ascii="Times New Roman" w:hAnsi="Times New Roman" w:cs="Times New Roman"/>
          <w:b/>
          <w:sz w:val="24"/>
          <w:szCs w:val="24"/>
        </w:rPr>
      </w:pPr>
      <w:r w:rsidRPr="00BF109C">
        <w:rPr>
          <w:rFonts w:ascii="Times New Roman" w:hAnsi="Times New Roman" w:cs="Times New Roman"/>
          <w:b/>
          <w:sz w:val="24"/>
          <w:szCs w:val="24"/>
        </w:rPr>
        <w:t>References</w:t>
      </w:r>
    </w:p>
    <w:p w:rsidR="00BF109C" w:rsidRPr="00BF109C" w:rsidP="00C9153D">
      <w:pPr>
        <w:spacing w:line="480" w:lineRule="auto"/>
        <w:ind w:left="720" w:hanging="720"/>
        <w:rPr>
          <w:rFonts w:ascii="Times New Roman" w:hAnsi="Times New Roman" w:cs="Times New Roman"/>
          <w:sz w:val="24"/>
          <w:szCs w:val="24"/>
        </w:rPr>
      </w:pPr>
      <w:r w:rsidRPr="00BF109C">
        <w:rPr>
          <w:rFonts w:ascii="Times New Roman" w:hAnsi="Times New Roman" w:cs="Times New Roman"/>
          <w:color w:val="222222"/>
          <w:sz w:val="24"/>
          <w:szCs w:val="24"/>
          <w:shd w:val="clear" w:color="auto" w:fill="FFFFFF"/>
        </w:rPr>
        <w:t>Bateman</w:t>
      </w:r>
      <w:r w:rsidRPr="00BF109C">
        <w:rPr>
          <w:rFonts w:ascii="Times New Roman" w:hAnsi="Times New Roman" w:cs="Times New Roman"/>
          <w:color w:val="222222"/>
          <w:sz w:val="24"/>
          <w:szCs w:val="24"/>
          <w:shd w:val="clear" w:color="auto" w:fill="FFFFFF"/>
        </w:rPr>
        <w:t xml:space="preserve">, </w:t>
      </w:r>
      <w:r w:rsidRPr="00BF109C">
        <w:rPr>
          <w:rFonts w:ascii="Times New Roman" w:hAnsi="Times New Roman" w:cs="Times New Roman"/>
          <w:color w:val="222222"/>
          <w:sz w:val="24"/>
          <w:szCs w:val="24"/>
          <w:shd w:val="clear" w:color="auto" w:fill="FFFFFF"/>
        </w:rPr>
        <w:t>D</w:t>
      </w:r>
      <w:r w:rsidRPr="00BF109C">
        <w:rPr>
          <w:rFonts w:ascii="Times New Roman" w:hAnsi="Times New Roman" w:cs="Times New Roman"/>
          <w:color w:val="222222"/>
          <w:sz w:val="24"/>
          <w:szCs w:val="24"/>
          <w:shd w:val="clear" w:color="auto" w:fill="FFFFFF"/>
        </w:rPr>
        <w:t xml:space="preserve">. </w:t>
      </w:r>
      <w:r w:rsidRPr="00BF109C">
        <w:rPr>
          <w:rFonts w:ascii="Times New Roman" w:hAnsi="Times New Roman" w:cs="Times New Roman"/>
          <w:color w:val="222222"/>
          <w:sz w:val="24"/>
          <w:szCs w:val="24"/>
          <w:shd w:val="clear" w:color="auto" w:fill="FFFFFF"/>
        </w:rPr>
        <w:t>F</w:t>
      </w:r>
      <w:r w:rsidRPr="00BF109C">
        <w:rPr>
          <w:rFonts w:ascii="Times New Roman" w:hAnsi="Times New Roman" w:cs="Times New Roman"/>
          <w:color w:val="222222"/>
          <w:sz w:val="24"/>
          <w:szCs w:val="24"/>
          <w:shd w:val="clear" w:color="auto" w:fill="FFFFFF"/>
        </w:rPr>
        <w:t xml:space="preserve">., </w:t>
      </w:r>
      <w:r w:rsidRPr="00BF109C">
        <w:rPr>
          <w:rFonts w:ascii="Times New Roman" w:hAnsi="Times New Roman" w:cs="Times New Roman"/>
          <w:color w:val="222222"/>
          <w:sz w:val="24"/>
          <w:szCs w:val="24"/>
          <w:shd w:val="clear" w:color="auto" w:fill="FFFFFF"/>
        </w:rPr>
        <w:t>Papalia</w:t>
      </w:r>
      <w:r w:rsidRPr="00BF109C">
        <w:rPr>
          <w:rFonts w:ascii="Times New Roman" w:hAnsi="Times New Roman" w:cs="Times New Roman"/>
          <w:color w:val="222222"/>
          <w:sz w:val="24"/>
          <w:szCs w:val="24"/>
          <w:shd w:val="clear" w:color="auto" w:fill="FFFFFF"/>
        </w:rPr>
        <w:t xml:space="preserve">, </w:t>
      </w:r>
      <w:r w:rsidRPr="00BF109C">
        <w:rPr>
          <w:rFonts w:ascii="Times New Roman" w:hAnsi="Times New Roman" w:cs="Times New Roman"/>
          <w:color w:val="222222"/>
          <w:sz w:val="24"/>
          <w:szCs w:val="24"/>
          <w:shd w:val="clear" w:color="auto" w:fill="FFFFFF"/>
        </w:rPr>
        <w:t>A</w:t>
      </w:r>
      <w:r w:rsidRPr="00BF109C">
        <w:rPr>
          <w:rFonts w:ascii="Times New Roman" w:hAnsi="Times New Roman" w:cs="Times New Roman"/>
          <w:color w:val="222222"/>
          <w:sz w:val="24"/>
          <w:szCs w:val="24"/>
          <w:shd w:val="clear" w:color="auto" w:fill="FFFFFF"/>
        </w:rPr>
        <w:t xml:space="preserve">., &amp; </w:t>
      </w:r>
      <w:r w:rsidRPr="00BF109C">
        <w:rPr>
          <w:rFonts w:ascii="Times New Roman" w:hAnsi="Times New Roman" w:cs="Times New Roman"/>
          <w:color w:val="222222"/>
          <w:sz w:val="24"/>
          <w:szCs w:val="24"/>
          <w:shd w:val="clear" w:color="auto" w:fill="FFFFFF"/>
        </w:rPr>
        <w:t>Chovanes</w:t>
      </w:r>
      <w:r w:rsidRPr="00BF109C">
        <w:rPr>
          <w:rFonts w:ascii="Times New Roman" w:hAnsi="Times New Roman" w:cs="Times New Roman"/>
          <w:color w:val="222222"/>
          <w:sz w:val="24"/>
          <w:szCs w:val="24"/>
          <w:shd w:val="clear" w:color="auto" w:fill="FFFFFF"/>
        </w:rPr>
        <w:t xml:space="preserve">, </w:t>
      </w:r>
      <w:r w:rsidRPr="00BF109C">
        <w:rPr>
          <w:rFonts w:ascii="Times New Roman" w:hAnsi="Times New Roman" w:cs="Times New Roman"/>
          <w:color w:val="222222"/>
          <w:sz w:val="24"/>
          <w:szCs w:val="24"/>
          <w:shd w:val="clear" w:color="auto" w:fill="FFFFFF"/>
        </w:rPr>
        <w:t>J</w:t>
      </w:r>
      <w:r w:rsidRPr="00BF109C">
        <w:rPr>
          <w:rFonts w:ascii="Times New Roman" w:hAnsi="Times New Roman" w:cs="Times New Roman"/>
          <w:color w:val="222222"/>
          <w:sz w:val="24"/>
          <w:szCs w:val="24"/>
          <w:shd w:val="clear" w:color="auto" w:fill="FFFFFF"/>
        </w:rPr>
        <w:t xml:space="preserve">. (2020). </w:t>
      </w:r>
      <w:r w:rsidRPr="00BF109C">
        <w:rPr>
          <w:rFonts w:ascii="Times New Roman" w:hAnsi="Times New Roman" w:cs="Times New Roman"/>
          <w:i/>
          <w:color w:val="222222"/>
          <w:sz w:val="24"/>
          <w:szCs w:val="24"/>
          <w:shd w:val="clear" w:color="auto" w:fill="FFFFFF"/>
        </w:rPr>
        <w:t xml:space="preserve">TENETS OF SECTION </w:t>
      </w:r>
      <w:r w:rsidRPr="00BF109C">
        <w:rPr>
          <w:rFonts w:ascii="Times New Roman" w:hAnsi="Times New Roman" w:cs="Times New Roman"/>
          <w:i/>
          <w:color w:val="222222"/>
          <w:sz w:val="24"/>
          <w:szCs w:val="24"/>
          <w:shd w:val="clear" w:color="auto" w:fill="FFFFFF"/>
        </w:rPr>
        <w:t xml:space="preserve">504 </w:t>
      </w:r>
      <w:r w:rsidRPr="00BF109C">
        <w:rPr>
          <w:rFonts w:ascii="Times New Roman" w:hAnsi="Times New Roman" w:cs="Times New Roman"/>
          <w:i/>
          <w:color w:val="222222"/>
          <w:sz w:val="24"/>
          <w:szCs w:val="24"/>
          <w:shd w:val="clear" w:color="auto" w:fill="FFFFFF"/>
        </w:rPr>
        <w:t xml:space="preserve">OF THE REHABILITATION ACT OF </w:t>
      </w:r>
      <w:r w:rsidRPr="00BF109C">
        <w:rPr>
          <w:rFonts w:ascii="Times New Roman" w:hAnsi="Times New Roman" w:cs="Times New Roman"/>
          <w:i/>
          <w:color w:val="222222"/>
          <w:sz w:val="24"/>
          <w:szCs w:val="24"/>
          <w:shd w:val="clear" w:color="auto" w:fill="FFFFFF"/>
        </w:rPr>
        <w:t>1973. </w:t>
      </w:r>
      <w:r w:rsidRPr="00BF109C">
        <w:rPr>
          <w:rFonts w:ascii="Times New Roman" w:hAnsi="Times New Roman" w:cs="Times New Roman"/>
          <w:iCs/>
          <w:color w:val="222222"/>
          <w:sz w:val="24"/>
          <w:szCs w:val="24"/>
          <w:shd w:val="clear" w:color="auto" w:fill="FFFFFF"/>
        </w:rPr>
        <w:t xml:space="preserve">Special Education Law </w:t>
      </w:r>
      <w:r w:rsidRPr="00BF109C">
        <w:rPr>
          <w:rFonts w:ascii="Times New Roman" w:hAnsi="Times New Roman" w:cs="Times New Roman"/>
          <w:iCs/>
          <w:color w:val="222222"/>
          <w:sz w:val="24"/>
          <w:szCs w:val="24"/>
          <w:shd w:val="clear" w:color="auto" w:fill="FFFFFF"/>
        </w:rPr>
        <w:t xml:space="preserve">and </w:t>
      </w:r>
      <w:r w:rsidRPr="00BF109C">
        <w:rPr>
          <w:rFonts w:ascii="Times New Roman" w:hAnsi="Times New Roman" w:cs="Times New Roman"/>
          <w:iCs/>
          <w:color w:val="222222"/>
          <w:sz w:val="24"/>
          <w:szCs w:val="24"/>
          <w:shd w:val="clear" w:color="auto" w:fill="FFFFFF"/>
        </w:rPr>
        <w:t>Policy</w:t>
      </w:r>
      <w:r w:rsidRPr="00BF109C">
        <w:rPr>
          <w:rFonts w:ascii="Times New Roman" w:hAnsi="Times New Roman" w:cs="Times New Roman"/>
          <w:iCs/>
          <w:color w:val="222222"/>
          <w:sz w:val="24"/>
          <w:szCs w:val="24"/>
          <w:shd w:val="clear" w:color="auto" w:fill="FFFFFF"/>
        </w:rPr>
        <w:t xml:space="preserve">: </w:t>
      </w:r>
      <w:r w:rsidRPr="00BF109C">
        <w:rPr>
          <w:rFonts w:ascii="Times New Roman" w:hAnsi="Times New Roman" w:cs="Times New Roman"/>
          <w:iCs/>
          <w:color w:val="222222"/>
          <w:sz w:val="24"/>
          <w:szCs w:val="24"/>
          <w:shd w:val="clear" w:color="auto" w:fill="FFFFFF"/>
        </w:rPr>
        <w:t xml:space="preserve">From Foundation </w:t>
      </w:r>
      <w:r w:rsidRPr="00BF109C">
        <w:rPr>
          <w:rFonts w:ascii="Times New Roman" w:hAnsi="Times New Roman" w:cs="Times New Roman"/>
          <w:iCs/>
          <w:color w:val="222222"/>
          <w:sz w:val="24"/>
          <w:szCs w:val="24"/>
          <w:shd w:val="clear" w:color="auto" w:fill="FFFFFF"/>
        </w:rPr>
        <w:t xml:space="preserve">to </w:t>
      </w:r>
      <w:r w:rsidRPr="00BF109C">
        <w:rPr>
          <w:rFonts w:ascii="Times New Roman" w:hAnsi="Times New Roman" w:cs="Times New Roman"/>
          <w:iCs/>
          <w:color w:val="222222"/>
          <w:sz w:val="24"/>
          <w:szCs w:val="24"/>
          <w:shd w:val="clear" w:color="auto" w:fill="FFFFFF"/>
        </w:rPr>
        <w:t>Application</w:t>
      </w:r>
      <w:r w:rsidRPr="00BF109C">
        <w:rPr>
          <w:rFonts w:ascii="Times New Roman" w:hAnsi="Times New Roman" w:cs="Times New Roman"/>
          <w:color w:val="222222"/>
          <w:sz w:val="24"/>
          <w:szCs w:val="24"/>
          <w:shd w:val="clear" w:color="auto" w:fill="FFFFFF"/>
        </w:rPr>
        <w:t>, 105.</w:t>
      </w:r>
    </w:p>
    <w:p w:rsidR="00BF109C" w:rsidP="00C9153D">
      <w:pPr>
        <w:spacing w:line="480" w:lineRule="auto"/>
        <w:ind w:left="720" w:hanging="720"/>
        <w:rPr>
          <w:rFonts w:ascii="Times New Roman" w:hAnsi="Times New Roman" w:cs="Times New Roman"/>
          <w:sz w:val="24"/>
          <w:szCs w:val="24"/>
        </w:rPr>
      </w:pPr>
      <w:r w:rsidRPr="00C9153D">
        <w:rPr>
          <w:rFonts w:ascii="Times New Roman" w:hAnsi="Times New Roman" w:cs="Times New Roman"/>
          <w:sz w:val="24"/>
          <w:szCs w:val="24"/>
        </w:rPr>
        <w:t xml:space="preserve">FindLaw. (n.d.). </w:t>
      </w:r>
      <w:r w:rsidRPr="00BF109C">
        <w:rPr>
          <w:rFonts w:ascii="Times New Roman" w:hAnsi="Times New Roman" w:cs="Times New Roman"/>
          <w:i/>
          <w:sz w:val="24"/>
          <w:szCs w:val="24"/>
        </w:rPr>
        <w:t>Keith v. County of Oakland</w:t>
      </w:r>
      <w:r w:rsidRPr="00C9153D">
        <w:rPr>
          <w:rFonts w:ascii="Times New Roman" w:hAnsi="Times New Roman" w:cs="Times New Roman"/>
          <w:sz w:val="24"/>
          <w:szCs w:val="24"/>
        </w:rPr>
        <w:t xml:space="preserve">. </w:t>
      </w:r>
      <w:hyperlink r:id="rId4" w:history="1">
        <w:r w:rsidRPr="00C9153D">
          <w:rPr>
            <w:rStyle w:val="Hyperlink"/>
            <w:rFonts w:ascii="Times New Roman" w:hAnsi="Times New Roman" w:cs="Times New Roman"/>
            <w:sz w:val="24"/>
            <w:szCs w:val="24"/>
          </w:rPr>
          <w:t>https://caselaw.findlaw.com/us-6th-circuit/1620278.html</w:t>
        </w:r>
      </w:hyperlink>
    </w:p>
    <w:p w:rsidR="00C9153D" w:rsidRPr="005B79C1" w:rsidP="005B79C1">
      <w:pPr>
        <w:spacing w:line="480" w:lineRule="auto"/>
        <w:ind w:firstLine="720"/>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1302266"/>
      <w:docPartObj>
        <w:docPartGallery w:val="Page Numbers (Top of Page)"/>
        <w:docPartUnique/>
      </w:docPartObj>
    </w:sdtPr>
    <w:sdtEndPr>
      <w:rPr>
        <w:rFonts w:ascii="Times New Roman" w:hAnsi="Times New Roman" w:cs="Times New Roman"/>
        <w:noProof/>
        <w:sz w:val="24"/>
        <w:szCs w:val="24"/>
      </w:rPr>
    </w:sdtEndPr>
    <w:sdtContent>
      <w:p w:rsidR="008D4A5B" w:rsidRPr="008D4A5B">
        <w:pPr>
          <w:pStyle w:val="Header"/>
          <w:jc w:val="right"/>
          <w:rPr>
            <w:rFonts w:ascii="Times New Roman" w:hAnsi="Times New Roman" w:cs="Times New Roman"/>
            <w:sz w:val="24"/>
            <w:szCs w:val="24"/>
          </w:rPr>
        </w:pPr>
        <w:r w:rsidRPr="008D4A5B">
          <w:rPr>
            <w:rFonts w:ascii="Times New Roman" w:hAnsi="Times New Roman" w:cs="Times New Roman"/>
            <w:sz w:val="24"/>
            <w:szCs w:val="24"/>
          </w:rPr>
          <w:fldChar w:fldCharType="begin"/>
        </w:r>
        <w:r w:rsidRPr="008D4A5B">
          <w:rPr>
            <w:rFonts w:ascii="Times New Roman" w:hAnsi="Times New Roman" w:cs="Times New Roman"/>
            <w:sz w:val="24"/>
            <w:szCs w:val="24"/>
          </w:rPr>
          <w:instrText xml:space="preserve"> PAGE   \* MERGEFORMAT </w:instrText>
        </w:r>
        <w:r w:rsidRPr="008D4A5B">
          <w:rPr>
            <w:rFonts w:ascii="Times New Roman" w:hAnsi="Times New Roman" w:cs="Times New Roman"/>
            <w:sz w:val="24"/>
            <w:szCs w:val="24"/>
          </w:rPr>
          <w:fldChar w:fldCharType="separate"/>
        </w:r>
        <w:r w:rsidR="00181BC4">
          <w:rPr>
            <w:rFonts w:ascii="Times New Roman" w:hAnsi="Times New Roman" w:cs="Times New Roman"/>
            <w:noProof/>
            <w:sz w:val="24"/>
            <w:szCs w:val="24"/>
          </w:rPr>
          <w:t>5</w:t>
        </w:r>
        <w:r w:rsidRPr="008D4A5B">
          <w:rPr>
            <w:rFonts w:ascii="Times New Roman" w:hAnsi="Times New Roman" w:cs="Times New Roman"/>
            <w:noProof/>
            <w:sz w:val="24"/>
            <w:szCs w:val="24"/>
          </w:rPr>
          <w:fldChar w:fldCharType="end"/>
        </w:r>
      </w:p>
    </w:sdtContent>
  </w:sdt>
  <w:p w:rsidR="008D4A5B" w:rsidRPr="008D4A5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5DE"/>
    <w:rsid w:val="000F19FD"/>
    <w:rsid w:val="00122693"/>
    <w:rsid w:val="00181BC4"/>
    <w:rsid w:val="0019525F"/>
    <w:rsid w:val="002305DE"/>
    <w:rsid w:val="002669AA"/>
    <w:rsid w:val="0037070A"/>
    <w:rsid w:val="003C4C4B"/>
    <w:rsid w:val="004064A4"/>
    <w:rsid w:val="00484F02"/>
    <w:rsid w:val="004A4F18"/>
    <w:rsid w:val="00591B38"/>
    <w:rsid w:val="005B79C1"/>
    <w:rsid w:val="006C31C7"/>
    <w:rsid w:val="007215A1"/>
    <w:rsid w:val="00726653"/>
    <w:rsid w:val="00757880"/>
    <w:rsid w:val="00804638"/>
    <w:rsid w:val="00813379"/>
    <w:rsid w:val="008A44D6"/>
    <w:rsid w:val="008D4A5B"/>
    <w:rsid w:val="00A15BF7"/>
    <w:rsid w:val="00A60DFE"/>
    <w:rsid w:val="00AC444D"/>
    <w:rsid w:val="00BF109C"/>
    <w:rsid w:val="00C9153D"/>
    <w:rsid w:val="00C92907"/>
    <w:rsid w:val="00CC26BE"/>
    <w:rsid w:val="00CC29C2"/>
    <w:rsid w:val="00CD59E9"/>
    <w:rsid w:val="00D34DC5"/>
    <w:rsid w:val="00DD15A1"/>
    <w:rsid w:val="00DE76EB"/>
    <w:rsid w:val="00E155AA"/>
    <w:rsid w:val="00EF3AE2"/>
    <w:rsid w:val="00F7372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3016621-52DD-4ECE-9AE7-D23AB6F0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A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A5B"/>
  </w:style>
  <w:style w:type="paragraph" w:styleId="Footer">
    <w:name w:val="footer"/>
    <w:basedOn w:val="Normal"/>
    <w:link w:val="FooterChar"/>
    <w:uiPriority w:val="99"/>
    <w:unhideWhenUsed/>
    <w:rsid w:val="008D4A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A5B"/>
  </w:style>
  <w:style w:type="character" w:styleId="Hyperlink">
    <w:name w:val="Hyperlink"/>
    <w:basedOn w:val="DefaultParagraphFont"/>
    <w:uiPriority w:val="99"/>
    <w:unhideWhenUsed/>
    <w:rsid w:val="00C915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caselaw.findlaw.com/us-6th-circuit/1620278.html"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5</Pages>
  <Words>692</Words>
  <Characters>3951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BABU</dc:creator>
  <cp:lastModifiedBy>BABU</cp:lastModifiedBy>
  <cp:revision>33</cp:revision>
  <dcterms:created xsi:type="dcterms:W3CDTF">2021-09-23T07:21:00Z</dcterms:created>
  <dcterms:modified xsi:type="dcterms:W3CDTF">2021-09-23T09:06:00Z</dcterms:modified>
</cp:coreProperties>
</file>